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123" w:rsidRPr="00832AD7" w:rsidRDefault="002453CF" w:rsidP="00A66C54">
      <w:pPr>
        <w:spacing w:after="0" w:line="240" w:lineRule="auto"/>
        <w:jc w:val="right"/>
        <w:rPr>
          <w:rFonts w:ascii="Times New Roman" w:eastAsia="Times New Roman" w:hAnsi="Times New Roman" w:cs="David"/>
          <w:sz w:val="16"/>
          <w:szCs w:val="16"/>
          <w:rtl/>
        </w:rPr>
      </w:pPr>
      <w:bookmarkStart w:id="0" w:name="_GoBack"/>
      <w:bookmarkEnd w:id="0"/>
      <w:r w:rsidRPr="006C3B1F">
        <w:rPr>
          <w:rFonts w:cs="David" w:hint="cs"/>
          <w:b/>
          <w:bCs/>
          <w:sz w:val="24"/>
          <w:szCs w:val="24"/>
          <w:rtl/>
        </w:rPr>
        <w:t xml:space="preserve">                                 </w:t>
      </w:r>
      <w:r w:rsidR="006B7B96" w:rsidRPr="006C3B1F">
        <w:rPr>
          <w:rFonts w:cs="David" w:hint="cs"/>
          <w:b/>
          <w:bCs/>
          <w:sz w:val="24"/>
          <w:szCs w:val="24"/>
          <w:rtl/>
        </w:rPr>
        <w:t xml:space="preserve">           </w:t>
      </w:r>
      <w:r w:rsidR="00631744">
        <w:rPr>
          <w:rFonts w:cs="David" w:hint="cs"/>
          <w:b/>
          <w:bCs/>
          <w:sz w:val="24"/>
          <w:szCs w:val="24"/>
          <w:rtl/>
        </w:rPr>
        <w:t xml:space="preserve">           </w:t>
      </w:r>
      <w:r w:rsidR="006C3B1F">
        <w:rPr>
          <w:rFonts w:cs="David" w:hint="cs"/>
          <w:b/>
          <w:bCs/>
          <w:sz w:val="24"/>
          <w:szCs w:val="24"/>
          <w:rtl/>
        </w:rPr>
        <w:t xml:space="preserve">   </w:t>
      </w:r>
      <w:r w:rsidRPr="006C3B1F">
        <w:rPr>
          <w:rFonts w:cs="David" w:hint="cs"/>
          <w:b/>
          <w:bCs/>
          <w:sz w:val="24"/>
          <w:szCs w:val="24"/>
          <w:rtl/>
        </w:rPr>
        <w:t xml:space="preserve">  </w:t>
      </w:r>
      <w:r w:rsidR="001D42A7">
        <w:rPr>
          <w:rFonts w:hint="cs"/>
          <w:b/>
          <w:bCs/>
          <w:rtl/>
        </w:rPr>
        <w:t xml:space="preserve">  </w:t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fldChar w:fldCharType="begin"/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instrText xml:space="preserve"> </w:instrText>
      </w:r>
      <w:r w:rsidR="00983123" w:rsidRPr="00832AD7">
        <w:rPr>
          <w:rFonts w:ascii="Times New Roman" w:eastAsia="Times New Roman" w:hAnsi="Times New Roman" w:cs="David"/>
          <w:sz w:val="16"/>
          <w:szCs w:val="16"/>
        </w:rPr>
        <w:instrText>DOCPROPERTY  DocDateEng  \* MERGEFORMAT</w:instrText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instrText xml:space="preserve"> </w:instrText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fldChar w:fldCharType="separate"/>
      </w:r>
      <w:r w:rsidR="00DD0541">
        <w:rPr>
          <w:rFonts w:ascii="Times New Roman" w:eastAsia="Times New Roman" w:hAnsi="Times New Roman" w:cs="David" w:hint="cs"/>
          <w:sz w:val="16"/>
          <w:szCs w:val="16"/>
          <w:rtl/>
        </w:rPr>
        <w:t>27</w:t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t xml:space="preserve"> במרץ 2023</w:t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fldChar w:fldCharType="end"/>
      </w:r>
      <w:r w:rsidR="00A66C54">
        <w:rPr>
          <w:rFonts w:ascii="Times New Roman" w:eastAsia="Times New Roman" w:hAnsi="Times New Roman" w:cs="David" w:hint="cs"/>
          <w:sz w:val="16"/>
          <w:szCs w:val="16"/>
          <w:rtl/>
        </w:rPr>
        <w:t xml:space="preserve"> |</w:t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t xml:space="preserve"> </w:t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fldChar w:fldCharType="begin"/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instrText xml:space="preserve"> </w:instrText>
      </w:r>
      <w:r w:rsidR="00983123" w:rsidRPr="00832AD7">
        <w:rPr>
          <w:rFonts w:ascii="Times New Roman" w:eastAsia="Times New Roman" w:hAnsi="Times New Roman" w:cs="David"/>
          <w:sz w:val="16"/>
          <w:szCs w:val="16"/>
        </w:rPr>
        <w:instrText>DOCPROPERTY  DocDateHeb  \* MERGEFORMAT</w:instrText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instrText xml:space="preserve"> </w:instrText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fldChar w:fldCharType="separate"/>
      </w:r>
      <w:r w:rsidR="00DD0541">
        <w:rPr>
          <w:rFonts w:ascii="Times New Roman" w:eastAsia="Times New Roman" w:hAnsi="Times New Roman" w:cs="David" w:hint="cs"/>
          <w:sz w:val="16"/>
          <w:szCs w:val="16"/>
          <w:rtl/>
        </w:rPr>
        <w:t>ה' בניסן</w:t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t xml:space="preserve"> תשפ"ג</w:t>
      </w:r>
      <w:r w:rsidR="00983123" w:rsidRPr="00832AD7">
        <w:rPr>
          <w:rFonts w:ascii="Times New Roman" w:eastAsia="Times New Roman" w:hAnsi="Times New Roman" w:cs="David" w:hint="cs"/>
          <w:sz w:val="16"/>
          <w:szCs w:val="16"/>
          <w:rtl/>
        </w:rPr>
        <w:fldChar w:fldCharType="end"/>
      </w:r>
    </w:p>
    <w:p w:rsidR="00515986" w:rsidRPr="00693A74" w:rsidRDefault="00515986" w:rsidP="00693A74">
      <w:pPr>
        <w:spacing w:after="120" w:line="360" w:lineRule="auto"/>
        <w:contextualSpacing/>
        <w:jc w:val="center"/>
        <w:rPr>
          <w:rFonts w:ascii="FrankRuehl" w:hAnsi="FrankRuehl" w:cs="FrankRuehl"/>
          <w:b/>
          <w:bCs/>
          <w:color w:val="323E4F" w:themeColor="text2" w:themeShade="BF"/>
          <w:sz w:val="28"/>
          <w:szCs w:val="28"/>
          <w:u w:val="single"/>
          <w:rtl/>
        </w:rPr>
      </w:pPr>
      <w:r w:rsidRPr="00693A74">
        <w:rPr>
          <w:rFonts w:ascii="FrankRuehl" w:hAnsi="FrankRuehl" w:cs="FrankRuehl"/>
          <w:b/>
          <w:bCs/>
          <w:color w:val="323E4F" w:themeColor="text2" w:themeShade="BF"/>
          <w:sz w:val="28"/>
          <w:szCs w:val="28"/>
          <w:u w:val="single"/>
          <w:rtl/>
        </w:rPr>
        <w:t>תקציר פסק</w:t>
      </w:r>
      <w:r w:rsidRPr="00693A74">
        <w:rPr>
          <w:rFonts w:ascii="FrankRuehl" w:hAnsi="FrankRuehl" w:cs="FrankRuehl" w:hint="cs"/>
          <w:b/>
          <w:bCs/>
          <w:color w:val="323E4F" w:themeColor="text2" w:themeShade="BF"/>
          <w:sz w:val="28"/>
          <w:szCs w:val="28"/>
          <w:u w:val="single"/>
          <w:rtl/>
        </w:rPr>
        <w:t>-</w:t>
      </w:r>
      <w:r w:rsidRPr="00693A74">
        <w:rPr>
          <w:rFonts w:ascii="FrankRuehl" w:hAnsi="FrankRuehl" w:cs="FrankRuehl"/>
          <w:b/>
          <w:bCs/>
          <w:color w:val="323E4F" w:themeColor="text2" w:themeShade="BF"/>
          <w:sz w:val="28"/>
          <w:szCs w:val="28"/>
          <w:u w:val="single"/>
          <w:rtl/>
        </w:rPr>
        <w:t>דין</w:t>
      </w:r>
    </w:p>
    <w:p w:rsidR="00515986" w:rsidRPr="00A66C54" w:rsidRDefault="00515986" w:rsidP="00547F3C">
      <w:pPr>
        <w:spacing w:after="120"/>
        <w:contextualSpacing/>
        <w:jc w:val="center"/>
        <w:rPr>
          <w:rFonts w:ascii="FrankRuehl" w:hAnsi="FrankRuehl" w:cs="FrankRuehl"/>
          <w:b/>
          <w:bCs/>
          <w:color w:val="323E4F" w:themeColor="text2" w:themeShade="BF"/>
          <w:sz w:val="24"/>
          <w:szCs w:val="24"/>
          <w:rtl/>
        </w:rPr>
      </w:pPr>
      <w:r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 xml:space="preserve">תיק </w:t>
      </w:r>
      <w:r w:rsidR="00DD0541"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 xml:space="preserve">ת"א </w:t>
      </w:r>
      <w:r w:rsidR="00693A74" w:rsidRPr="00A66C54">
        <w:rPr>
          <w:rFonts w:ascii="FrankRuehl" w:hAnsi="FrankRuehl" w:cs="FrankRuehl"/>
          <w:b/>
          <w:bCs/>
          <w:color w:val="323E4F" w:themeColor="text2" w:themeShade="BF"/>
          <w:sz w:val="24"/>
          <w:szCs w:val="24"/>
          <w:rtl/>
        </w:rPr>
        <w:t>8712-06-20</w:t>
      </w:r>
      <w:r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 xml:space="preserve"> </w:t>
      </w:r>
      <w:proofErr w:type="spellStart"/>
      <w:r w:rsidR="00693A74"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>עבאסי</w:t>
      </w:r>
      <w:proofErr w:type="spellEnd"/>
      <w:r w:rsidR="00693A74"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 xml:space="preserve"> ואח' נגד </w:t>
      </w:r>
      <w:r w:rsidR="00547F3C"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>רשות הטבע והגנים</w:t>
      </w:r>
      <w:r w:rsidR="00693A74"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 xml:space="preserve"> ואח'</w:t>
      </w:r>
    </w:p>
    <w:p w:rsidR="00153394" w:rsidRPr="00A66C54" w:rsidRDefault="00547F3C" w:rsidP="00A66C54">
      <w:pPr>
        <w:spacing w:after="120"/>
        <w:contextualSpacing/>
        <w:jc w:val="center"/>
        <w:rPr>
          <w:rFonts w:ascii="FrankRuehl" w:hAnsi="FrankRuehl" w:cs="FrankRuehl"/>
          <w:b/>
          <w:bCs/>
          <w:color w:val="323E4F" w:themeColor="text2" w:themeShade="BF"/>
          <w:sz w:val="24"/>
          <w:szCs w:val="24"/>
          <w:rtl/>
        </w:rPr>
      </w:pPr>
      <w:r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 xml:space="preserve">תיק ת"א 12132-01-21 </w:t>
      </w:r>
      <w:proofErr w:type="spellStart"/>
      <w:r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>סמרין</w:t>
      </w:r>
      <w:proofErr w:type="spellEnd"/>
      <w:r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 xml:space="preserve"> ואח' נ' רשות הטבע והגנים ואח'</w:t>
      </w:r>
    </w:p>
    <w:p w:rsidR="00153394" w:rsidRPr="00A66C54" w:rsidRDefault="00A66C54" w:rsidP="00A66C54">
      <w:pPr>
        <w:spacing w:after="120" w:line="360" w:lineRule="auto"/>
        <w:contextualSpacing/>
        <w:jc w:val="center"/>
        <w:rPr>
          <w:rFonts w:ascii="FrankRuehl" w:hAnsi="FrankRuehl" w:cs="FrankRuehl"/>
          <w:color w:val="323E4F" w:themeColor="text2" w:themeShade="BF"/>
          <w:sz w:val="24"/>
          <w:szCs w:val="24"/>
          <w:rtl/>
        </w:rPr>
      </w:pPr>
      <w:r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 xml:space="preserve">סגן נשיא בתי משפט השלום בירושלים, השופט </w:t>
      </w:r>
      <w:r w:rsidR="00693A74" w:rsidRPr="00A66C54">
        <w:rPr>
          <w:rFonts w:ascii="FrankRuehl" w:hAnsi="FrankRuehl" w:cs="FrankRuehl" w:hint="cs"/>
          <w:b/>
          <w:bCs/>
          <w:color w:val="323E4F" w:themeColor="text2" w:themeShade="BF"/>
          <w:sz w:val="24"/>
          <w:szCs w:val="24"/>
          <w:rtl/>
        </w:rPr>
        <w:t>אורן סילברמן</w:t>
      </w:r>
    </w:p>
    <w:p w:rsidR="00693A74" w:rsidRPr="009A2862" w:rsidRDefault="00693A74" w:rsidP="00153394">
      <w:pPr>
        <w:spacing w:line="360" w:lineRule="auto"/>
        <w:jc w:val="both"/>
        <w:rPr>
          <w:rFonts w:ascii="David" w:hAnsi="David" w:cs="David"/>
          <w:strike/>
          <w:color w:val="FF0000"/>
          <w:sz w:val="24"/>
          <w:szCs w:val="24"/>
        </w:rPr>
      </w:pPr>
      <w:r w:rsidRPr="00D955CD">
        <w:rPr>
          <w:rFonts w:ascii="David" w:hAnsi="David" w:cs="David" w:hint="cs"/>
          <w:sz w:val="24"/>
          <w:szCs w:val="24"/>
          <w:rtl/>
        </w:rPr>
        <w:t xml:space="preserve">פסק הדין עניינו בתביעות מאוחדות במסגרתן עתרו התובעים למתן צווים הצהרתיים לפיהם הם המחזיקים הבלעדיים במקרקעין </w:t>
      </w:r>
      <w:r w:rsidR="00153394">
        <w:rPr>
          <w:rFonts w:ascii="David" w:hAnsi="David" w:cs="David" w:hint="cs"/>
          <w:sz w:val="24"/>
          <w:szCs w:val="24"/>
          <w:rtl/>
        </w:rPr>
        <w:t xml:space="preserve">המצויים </w:t>
      </w:r>
      <w:r w:rsidRPr="00D955CD">
        <w:rPr>
          <w:rFonts w:ascii="David" w:hAnsi="David" w:cs="David" w:hint="cs"/>
          <w:sz w:val="24"/>
          <w:szCs w:val="24"/>
          <w:rtl/>
        </w:rPr>
        <w:t xml:space="preserve">בתחום גן לאומי סובב חומות ירושלים. הרקע להגשת התביעות הוא כניסתה של רשות הטבע והגנים למקרקעין (להלן: </w:t>
      </w:r>
      <w:r w:rsidRPr="00D955CD">
        <w:rPr>
          <w:rFonts w:ascii="David" w:hAnsi="David" w:cs="David" w:hint="cs"/>
          <w:b/>
          <w:bCs/>
          <w:sz w:val="24"/>
          <w:szCs w:val="24"/>
          <w:rtl/>
        </w:rPr>
        <w:t>"</w:t>
      </w:r>
      <w:proofErr w:type="spellStart"/>
      <w:r w:rsidRPr="00D955CD">
        <w:rPr>
          <w:rFonts w:ascii="David" w:hAnsi="David" w:cs="David" w:hint="cs"/>
          <w:b/>
          <w:bCs/>
          <w:sz w:val="24"/>
          <w:szCs w:val="24"/>
          <w:rtl/>
        </w:rPr>
        <w:t>הרט"ג</w:t>
      </w:r>
      <w:proofErr w:type="spellEnd"/>
      <w:r w:rsidRPr="00D955CD">
        <w:rPr>
          <w:rFonts w:ascii="David" w:hAnsi="David" w:cs="David" w:hint="cs"/>
          <w:b/>
          <w:bCs/>
          <w:sz w:val="24"/>
          <w:szCs w:val="24"/>
          <w:rtl/>
        </w:rPr>
        <w:t>"</w:t>
      </w:r>
      <w:r w:rsidRPr="00D955CD">
        <w:rPr>
          <w:rFonts w:ascii="David" w:hAnsi="David" w:cs="David" w:hint="cs"/>
          <w:sz w:val="24"/>
          <w:szCs w:val="24"/>
          <w:rtl/>
        </w:rPr>
        <w:t xml:space="preserve">) לשם ביצוע עבודות מכוח מכתב הרשאה שניתן ע"י </w:t>
      </w:r>
      <w:proofErr w:type="spellStart"/>
      <w:r w:rsidRPr="00D955CD">
        <w:rPr>
          <w:rFonts w:ascii="David" w:hAnsi="David" w:cs="David" w:hint="cs"/>
          <w:sz w:val="24"/>
          <w:szCs w:val="24"/>
          <w:rtl/>
        </w:rPr>
        <w:t>האופוטרופוס</w:t>
      </w:r>
      <w:proofErr w:type="spellEnd"/>
      <w:r w:rsidRPr="00D955CD">
        <w:rPr>
          <w:rFonts w:ascii="David" w:hAnsi="David" w:cs="David" w:hint="cs"/>
          <w:sz w:val="24"/>
          <w:szCs w:val="24"/>
          <w:rtl/>
        </w:rPr>
        <w:t xml:space="preserve"> לנכסי נפקדים (להלן: </w:t>
      </w:r>
      <w:r w:rsidRPr="00D955CD">
        <w:rPr>
          <w:rFonts w:ascii="David" w:hAnsi="David" w:cs="David" w:hint="cs"/>
          <w:b/>
          <w:bCs/>
          <w:sz w:val="24"/>
          <w:szCs w:val="24"/>
          <w:rtl/>
        </w:rPr>
        <w:t>"</w:t>
      </w:r>
      <w:proofErr w:type="spellStart"/>
      <w:r w:rsidRPr="00D955CD">
        <w:rPr>
          <w:rFonts w:ascii="David" w:hAnsi="David" w:cs="David" w:hint="cs"/>
          <w:b/>
          <w:bCs/>
          <w:sz w:val="24"/>
          <w:szCs w:val="24"/>
          <w:rtl/>
        </w:rPr>
        <w:t>האנ"נ</w:t>
      </w:r>
      <w:proofErr w:type="spellEnd"/>
      <w:r w:rsidRPr="00D955CD">
        <w:rPr>
          <w:rFonts w:ascii="David" w:hAnsi="David" w:cs="David" w:hint="cs"/>
          <w:b/>
          <w:bCs/>
          <w:sz w:val="24"/>
          <w:szCs w:val="24"/>
          <w:rtl/>
        </w:rPr>
        <w:t>"</w:t>
      </w:r>
      <w:r w:rsidRPr="00D955CD">
        <w:rPr>
          <w:rFonts w:ascii="David" w:hAnsi="David" w:cs="David" w:hint="cs"/>
          <w:sz w:val="24"/>
          <w:szCs w:val="24"/>
          <w:rtl/>
        </w:rPr>
        <w:t xml:space="preserve">) ביום 4.10.2018. קודם לנקיטת ההליכים נוהלה, בנוגע לחלק מהתובעים, עתירה מנהלית שנדחתה בהיעדר סמכות, ובעקבותיה </w:t>
      </w:r>
      <w:r w:rsidR="009A2862">
        <w:rPr>
          <w:rFonts w:ascii="David" w:hAnsi="David" w:cs="David" w:hint="cs"/>
          <w:sz w:val="24"/>
          <w:szCs w:val="24"/>
          <w:rtl/>
        </w:rPr>
        <w:t>עתירה לבג"ץ</w:t>
      </w:r>
      <w:r w:rsidRPr="00D955CD">
        <w:rPr>
          <w:rFonts w:ascii="David" w:hAnsi="David" w:cs="David" w:hint="cs"/>
          <w:sz w:val="24"/>
          <w:szCs w:val="24"/>
          <w:rtl/>
        </w:rPr>
        <w:t xml:space="preserve"> אשר נדחתה</w:t>
      </w:r>
      <w:r w:rsidR="00153394">
        <w:rPr>
          <w:rFonts w:ascii="David" w:hAnsi="David" w:cs="David" w:hint="cs"/>
          <w:sz w:val="24"/>
          <w:szCs w:val="24"/>
          <w:rtl/>
        </w:rPr>
        <w:t xml:space="preserve"> גם כן.</w:t>
      </w:r>
    </w:p>
    <w:p w:rsidR="00693A74" w:rsidRPr="00D955CD" w:rsidRDefault="00693A74" w:rsidP="00153394">
      <w:pPr>
        <w:spacing w:line="360" w:lineRule="auto"/>
        <w:jc w:val="both"/>
        <w:rPr>
          <w:rFonts w:ascii="David" w:hAnsi="David" w:cs="David"/>
          <w:sz w:val="24"/>
          <w:szCs w:val="24"/>
        </w:rPr>
      </w:pPr>
      <w:r w:rsidRPr="00D955CD">
        <w:rPr>
          <w:rFonts w:ascii="David" w:hAnsi="David" w:cs="David" w:hint="cs"/>
          <w:sz w:val="24"/>
          <w:szCs w:val="24"/>
          <w:rtl/>
        </w:rPr>
        <w:t>התובעים טענו</w:t>
      </w:r>
      <w:r w:rsidR="009A2862">
        <w:rPr>
          <w:rFonts w:ascii="David" w:hAnsi="David" w:cs="David" w:hint="cs"/>
          <w:sz w:val="24"/>
          <w:szCs w:val="24"/>
          <w:rtl/>
        </w:rPr>
        <w:t xml:space="preserve"> </w:t>
      </w:r>
      <w:r w:rsidR="00153394">
        <w:rPr>
          <w:rFonts w:ascii="David" w:hAnsi="David" w:cs="David" w:hint="cs"/>
          <w:sz w:val="24"/>
          <w:szCs w:val="24"/>
          <w:rtl/>
        </w:rPr>
        <w:t xml:space="preserve">כי </w:t>
      </w:r>
      <w:r w:rsidRPr="00D955CD">
        <w:rPr>
          <w:rFonts w:ascii="David" w:hAnsi="David" w:cs="David" w:hint="cs"/>
          <w:sz w:val="24"/>
          <w:szCs w:val="24"/>
          <w:rtl/>
        </w:rPr>
        <w:t xml:space="preserve">הם מחזיקים בחלקות </w:t>
      </w:r>
      <w:r w:rsidR="00547F3C">
        <w:rPr>
          <w:rFonts w:ascii="David" w:hAnsi="David" w:cs="David" w:hint="cs"/>
          <w:sz w:val="24"/>
          <w:szCs w:val="24"/>
          <w:rtl/>
        </w:rPr>
        <w:t xml:space="preserve">עשרות שנים </w:t>
      </w:r>
      <w:r w:rsidRPr="00D955CD">
        <w:rPr>
          <w:rFonts w:ascii="David" w:hAnsi="David" w:cs="David" w:hint="cs"/>
          <w:sz w:val="24"/>
          <w:szCs w:val="24"/>
          <w:rtl/>
        </w:rPr>
        <w:t xml:space="preserve">מכוח בעלותם הבלעדית, והם חורשים, מסיקים ומטפחים את החלקות. נציגי </w:t>
      </w:r>
      <w:proofErr w:type="spellStart"/>
      <w:r w:rsidRPr="00D955CD">
        <w:rPr>
          <w:rFonts w:ascii="David" w:hAnsi="David" w:cs="David" w:hint="cs"/>
          <w:sz w:val="24"/>
          <w:szCs w:val="24"/>
          <w:rtl/>
        </w:rPr>
        <w:t>ר</w:t>
      </w:r>
      <w:r w:rsidR="00547F3C">
        <w:rPr>
          <w:rFonts w:ascii="David" w:hAnsi="David" w:cs="David" w:hint="cs"/>
          <w:sz w:val="24"/>
          <w:szCs w:val="24"/>
          <w:rtl/>
        </w:rPr>
        <w:t>ט"ג</w:t>
      </w:r>
      <w:proofErr w:type="spellEnd"/>
      <w:r w:rsidR="00547F3C">
        <w:rPr>
          <w:rFonts w:ascii="David" w:hAnsi="David" w:cs="David" w:hint="cs"/>
          <w:sz w:val="24"/>
          <w:szCs w:val="24"/>
          <w:rtl/>
        </w:rPr>
        <w:t xml:space="preserve"> </w:t>
      </w:r>
      <w:r w:rsidRPr="00D955CD">
        <w:rPr>
          <w:rFonts w:ascii="David" w:hAnsi="David" w:cs="David" w:hint="cs"/>
          <w:sz w:val="24"/>
          <w:szCs w:val="24"/>
          <w:rtl/>
        </w:rPr>
        <w:t xml:space="preserve">פלשו לטענתם לחלקות והחלו לבצע בהן עבודות תוך זריעת הרס ועקירת עצים עתיקים. התובעים טענו שמכתב ההרשאה הוא בגדר הוראה בלתי חוקית שכן החלקות מעולם לא הוקנו </w:t>
      </w:r>
      <w:proofErr w:type="spellStart"/>
      <w:r w:rsidRPr="00D955CD">
        <w:rPr>
          <w:rFonts w:ascii="David" w:hAnsi="David" w:cs="David" w:hint="cs"/>
          <w:sz w:val="24"/>
          <w:szCs w:val="24"/>
          <w:rtl/>
        </w:rPr>
        <w:t>לאנ"נ</w:t>
      </w:r>
      <w:proofErr w:type="spellEnd"/>
      <w:r w:rsidRPr="00D955CD">
        <w:rPr>
          <w:rFonts w:ascii="David" w:hAnsi="David" w:cs="David" w:hint="cs"/>
          <w:sz w:val="24"/>
          <w:szCs w:val="24"/>
          <w:rtl/>
        </w:rPr>
        <w:t xml:space="preserve"> וממילא הוא לא דרש את סילוק ידם של התובעים מהמקרקעין</w:t>
      </w:r>
      <w:r w:rsidR="00153394">
        <w:rPr>
          <w:rFonts w:ascii="David" w:hAnsi="David" w:cs="David" w:hint="cs"/>
          <w:sz w:val="24"/>
          <w:szCs w:val="24"/>
          <w:rtl/>
        </w:rPr>
        <w:t>.</w:t>
      </w:r>
      <w:r w:rsidRPr="00D955CD">
        <w:rPr>
          <w:rFonts w:ascii="David" w:hAnsi="David" w:cs="David" w:hint="cs"/>
          <w:sz w:val="24"/>
          <w:szCs w:val="24"/>
          <w:rtl/>
        </w:rPr>
        <w:t xml:space="preserve"> לטענתם מדובר בחלקות שאינן מוסדרות או רשומות ומאחר שגבולות הנכס לא זוהו ומשאין תעודת הקנייה, הרי שלא ניתן היה להוציא את החלקות מחזקתם של התובעים. </w:t>
      </w:r>
    </w:p>
    <w:p w:rsidR="00693A74" w:rsidRPr="00A66C54" w:rsidRDefault="00693A74" w:rsidP="00A66C54">
      <w:pPr>
        <w:spacing w:line="360" w:lineRule="auto"/>
        <w:jc w:val="both"/>
        <w:rPr>
          <w:rFonts w:ascii="David" w:hAnsi="David" w:cs="David"/>
          <w:sz w:val="24"/>
          <w:szCs w:val="24"/>
        </w:rPr>
      </w:pPr>
      <w:proofErr w:type="spellStart"/>
      <w:r w:rsidRPr="00D955CD">
        <w:rPr>
          <w:rFonts w:ascii="David" w:hAnsi="David" w:cs="David" w:hint="cs"/>
          <w:sz w:val="24"/>
          <w:szCs w:val="24"/>
          <w:rtl/>
        </w:rPr>
        <w:t>רט"ג</w:t>
      </w:r>
      <w:proofErr w:type="spellEnd"/>
      <w:r w:rsidRPr="00D955CD">
        <w:rPr>
          <w:rFonts w:ascii="David" w:hAnsi="David" w:cs="David" w:hint="cs"/>
          <w:sz w:val="24"/>
          <w:szCs w:val="24"/>
          <w:rtl/>
        </w:rPr>
        <w:t xml:space="preserve"> טענה שהיא פועלת במקרקעין מכוח אישור שהעניק לה </w:t>
      </w:r>
      <w:proofErr w:type="spellStart"/>
      <w:r w:rsidRPr="00D955CD">
        <w:rPr>
          <w:rFonts w:ascii="David" w:hAnsi="David" w:cs="David" w:hint="cs"/>
          <w:sz w:val="24"/>
          <w:szCs w:val="24"/>
          <w:rtl/>
        </w:rPr>
        <w:t>האנ"נ</w:t>
      </w:r>
      <w:proofErr w:type="spellEnd"/>
      <w:r w:rsidRPr="00D955CD">
        <w:rPr>
          <w:rFonts w:ascii="David" w:hAnsi="David" w:cs="David" w:hint="cs"/>
          <w:sz w:val="24"/>
          <w:szCs w:val="24"/>
          <w:rtl/>
        </w:rPr>
        <w:t xml:space="preserve"> וכי התובעים לא תמכו בראיות את טענתם</w:t>
      </w:r>
      <w:r w:rsidR="009A2862">
        <w:rPr>
          <w:rFonts w:ascii="David" w:hAnsi="David" w:cs="David" w:hint="cs"/>
          <w:sz w:val="24"/>
          <w:szCs w:val="24"/>
          <w:rtl/>
        </w:rPr>
        <w:t xml:space="preserve"> לעניין החזקה במקרקעין</w:t>
      </w:r>
      <w:r w:rsidR="00547F3C">
        <w:rPr>
          <w:rFonts w:ascii="David" w:hAnsi="David" w:cs="David" w:hint="cs"/>
          <w:sz w:val="24"/>
          <w:szCs w:val="24"/>
          <w:rtl/>
        </w:rPr>
        <w:t xml:space="preserve"> אשר היו נטושים, מוזנחים, מלאים בפסולת רבה וללא גידור או מבנים</w:t>
      </w:r>
      <w:r w:rsidR="00153394">
        <w:rPr>
          <w:rFonts w:ascii="David" w:hAnsi="David" w:cs="David" w:hint="cs"/>
          <w:sz w:val="24"/>
          <w:szCs w:val="24"/>
          <w:rtl/>
        </w:rPr>
        <w:t xml:space="preserve">; </w:t>
      </w:r>
      <w:proofErr w:type="spellStart"/>
      <w:r w:rsidRPr="00D955CD">
        <w:rPr>
          <w:rFonts w:ascii="David" w:hAnsi="David" w:cs="David" w:hint="cs"/>
          <w:sz w:val="24"/>
          <w:szCs w:val="24"/>
          <w:rtl/>
        </w:rPr>
        <w:t>האנ"נ</w:t>
      </w:r>
      <w:proofErr w:type="spellEnd"/>
      <w:r w:rsidRPr="00D955CD">
        <w:rPr>
          <w:rFonts w:ascii="David" w:hAnsi="David" w:cs="David" w:hint="cs"/>
          <w:sz w:val="24"/>
          <w:szCs w:val="24"/>
          <w:rtl/>
        </w:rPr>
        <w:t xml:space="preserve"> טען כי דין התביעה להידחות</w:t>
      </w:r>
      <w:r w:rsidR="00547F3C">
        <w:rPr>
          <w:rFonts w:ascii="David" w:hAnsi="David" w:cs="David" w:hint="cs"/>
          <w:sz w:val="24"/>
          <w:szCs w:val="24"/>
          <w:rtl/>
        </w:rPr>
        <w:t xml:space="preserve"> וכי פעולותיו נעשו כדין.</w:t>
      </w:r>
      <w:r w:rsidRPr="009A2862">
        <w:rPr>
          <w:rFonts w:ascii="David" w:hAnsi="David" w:cs="David" w:hint="cs"/>
          <w:strike/>
          <w:color w:val="FF0000"/>
          <w:sz w:val="24"/>
          <w:szCs w:val="24"/>
          <w:rtl/>
        </w:rPr>
        <w:t xml:space="preserve"> </w:t>
      </w:r>
    </w:p>
    <w:p w:rsidR="00693A74" w:rsidRPr="00D955CD" w:rsidRDefault="00153394" w:rsidP="00153394">
      <w:pPr>
        <w:spacing w:line="360" w:lineRule="auto"/>
        <w:jc w:val="both"/>
        <w:rPr>
          <w:rFonts w:ascii="David" w:hAnsi="David" w:cs="David"/>
          <w:sz w:val="24"/>
          <w:szCs w:val="24"/>
        </w:rPr>
      </w:pPr>
      <w:r w:rsidRPr="00153394">
        <w:rPr>
          <w:rFonts w:ascii="David" w:hAnsi="David" w:cs="David" w:hint="cs"/>
          <w:sz w:val="24"/>
          <w:szCs w:val="24"/>
          <w:rtl/>
        </w:rPr>
        <w:t>בית המשפט קבע כי דין התביע</w:t>
      </w:r>
      <w:r>
        <w:rPr>
          <w:rFonts w:ascii="David" w:hAnsi="David" w:cs="David" w:hint="cs"/>
          <w:sz w:val="24"/>
          <w:szCs w:val="24"/>
          <w:rtl/>
        </w:rPr>
        <w:t>ות</w:t>
      </w:r>
      <w:r w:rsidRPr="00153394">
        <w:rPr>
          <w:rFonts w:ascii="David" w:hAnsi="David" w:cs="David" w:hint="cs"/>
          <w:sz w:val="24"/>
          <w:szCs w:val="24"/>
          <w:rtl/>
        </w:rPr>
        <w:t xml:space="preserve"> להידחות לאחר שמצא </w:t>
      </w:r>
      <w:r w:rsidR="00693A74" w:rsidRPr="00D955CD">
        <w:rPr>
          <w:rFonts w:ascii="David" w:hAnsi="David" w:cs="David" w:hint="cs"/>
          <w:sz w:val="24"/>
          <w:szCs w:val="24"/>
          <w:rtl/>
        </w:rPr>
        <w:t xml:space="preserve">כי התובעים לא הוכיחו חזקה עובדתית או משפטית במקרקעין ומנגד הוכח כי פעולות </w:t>
      </w:r>
      <w:proofErr w:type="spellStart"/>
      <w:r w:rsidR="00693A74" w:rsidRPr="00D955CD">
        <w:rPr>
          <w:rFonts w:ascii="David" w:hAnsi="David" w:cs="David" w:hint="cs"/>
          <w:sz w:val="24"/>
          <w:szCs w:val="24"/>
          <w:rtl/>
        </w:rPr>
        <w:t>רט"ג</w:t>
      </w:r>
      <w:proofErr w:type="spellEnd"/>
      <w:r w:rsidR="00693A74" w:rsidRPr="00D955CD">
        <w:rPr>
          <w:rFonts w:ascii="David" w:hAnsi="David" w:cs="David" w:hint="cs"/>
          <w:sz w:val="24"/>
          <w:szCs w:val="24"/>
          <w:rtl/>
        </w:rPr>
        <w:t xml:space="preserve"> </w:t>
      </w:r>
      <w:proofErr w:type="spellStart"/>
      <w:r w:rsidR="00693A74" w:rsidRPr="00D955CD">
        <w:rPr>
          <w:rFonts w:ascii="David" w:hAnsi="David" w:cs="David" w:hint="cs"/>
          <w:sz w:val="24"/>
          <w:szCs w:val="24"/>
          <w:rtl/>
        </w:rPr>
        <w:t>והאנ"נ</w:t>
      </w:r>
      <w:proofErr w:type="spellEnd"/>
      <w:r w:rsidR="00693A74" w:rsidRPr="00D955CD">
        <w:rPr>
          <w:rFonts w:ascii="David" w:hAnsi="David" w:cs="David" w:hint="cs"/>
          <w:sz w:val="24"/>
          <w:szCs w:val="24"/>
          <w:rtl/>
        </w:rPr>
        <w:t xml:space="preserve"> נעשו כדין וללא כל דופי. </w:t>
      </w:r>
    </w:p>
    <w:p w:rsidR="00A50E29" w:rsidRPr="00A66C54" w:rsidRDefault="00693A74" w:rsidP="00A66C54">
      <w:p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 w:rsidRPr="00D955CD">
        <w:rPr>
          <w:rFonts w:ascii="David" w:hAnsi="David" w:cs="David" w:hint="cs"/>
          <w:sz w:val="24"/>
          <w:szCs w:val="24"/>
          <w:rtl/>
        </w:rPr>
        <w:t xml:space="preserve">נקבע כי התובעים לא עמדו בנטל הראיה המוטל עליהם - </w:t>
      </w:r>
      <w:r w:rsidR="00153394" w:rsidRPr="00D955CD">
        <w:rPr>
          <w:rFonts w:ascii="David" w:hAnsi="David" w:cs="David" w:hint="cs"/>
          <w:sz w:val="24"/>
          <w:szCs w:val="24"/>
          <w:rtl/>
        </w:rPr>
        <w:t>עדויות התובעים נמצאו כבלתי אמינות לאחר שמסרו גרסאות שונות, מתפתחות וסותרות ביחס לחלקם במקרקעין, ביחס לחזקה העובדתית וביחס לפעולות החזקה בשטח</w:t>
      </w:r>
      <w:r w:rsidR="00153394">
        <w:rPr>
          <w:rFonts w:ascii="David" w:hAnsi="David" w:cs="David" w:hint="cs"/>
          <w:sz w:val="24"/>
          <w:szCs w:val="24"/>
          <w:rtl/>
        </w:rPr>
        <w:t>;</w:t>
      </w:r>
      <w:r w:rsidR="00153394" w:rsidRPr="00D955CD">
        <w:rPr>
          <w:rFonts w:ascii="David" w:hAnsi="David" w:cs="David" w:hint="cs"/>
          <w:sz w:val="24"/>
          <w:szCs w:val="24"/>
          <w:rtl/>
        </w:rPr>
        <w:t xml:space="preserve"> הטענה לגידולים חקלאיים ושתילת העצים </w:t>
      </w:r>
      <w:r w:rsidR="00153394">
        <w:rPr>
          <w:rFonts w:ascii="David" w:hAnsi="David" w:cs="David" w:hint="cs"/>
          <w:sz w:val="24"/>
          <w:szCs w:val="24"/>
          <w:rtl/>
        </w:rPr>
        <w:t>סתרה ראיות אחרות מטע</w:t>
      </w:r>
      <w:r w:rsidR="00153394" w:rsidRPr="00D955CD">
        <w:rPr>
          <w:rFonts w:ascii="David" w:hAnsi="David" w:cs="David" w:hint="cs"/>
          <w:sz w:val="24"/>
          <w:szCs w:val="24"/>
          <w:rtl/>
        </w:rPr>
        <w:t>ם</w:t>
      </w:r>
      <w:r w:rsidR="00153394">
        <w:rPr>
          <w:rFonts w:ascii="David" w:hAnsi="David" w:cs="David" w:hint="cs"/>
          <w:sz w:val="24"/>
          <w:szCs w:val="24"/>
          <w:rtl/>
        </w:rPr>
        <w:t xml:space="preserve"> התובעים, לרבות פיענוח תצלומי אויר </w:t>
      </w:r>
      <w:r w:rsidR="00153394" w:rsidRPr="00153394">
        <w:rPr>
          <w:rFonts w:ascii="David" w:hAnsi="David" w:cs="David" w:hint="cs"/>
          <w:sz w:val="24"/>
          <w:szCs w:val="24"/>
          <w:rtl/>
        </w:rPr>
        <w:t>מטעמם;</w:t>
      </w:r>
      <w:r w:rsidR="00153394">
        <w:rPr>
          <w:rFonts w:ascii="David" w:hAnsi="David" w:cs="David" w:hint="cs"/>
          <w:sz w:val="24"/>
          <w:szCs w:val="24"/>
          <w:rtl/>
        </w:rPr>
        <w:t xml:space="preserve"> </w:t>
      </w:r>
      <w:r w:rsidRPr="00D955CD">
        <w:rPr>
          <w:rFonts w:ascii="David" w:hAnsi="David" w:cs="David" w:hint="cs"/>
          <w:sz w:val="24"/>
          <w:szCs w:val="24"/>
          <w:rtl/>
        </w:rPr>
        <w:t xml:space="preserve">לא ניתן לייחס לעדויות התובעים בתצהיריהם ערך ראייתי שעה שעלה כי הם אינם מודעים לתוכן תצהיריהם; מעדותם עלה כי גם לשיטתם החזקה מצויה בידי אחרים ולא רק בידם וממילא לא הוכחה ברף הנדרש החזקה הפרטנית </w:t>
      </w:r>
      <w:r w:rsidR="00153394">
        <w:rPr>
          <w:rFonts w:ascii="David" w:hAnsi="David" w:cs="David" w:hint="cs"/>
          <w:sz w:val="24"/>
          <w:szCs w:val="24"/>
          <w:rtl/>
        </w:rPr>
        <w:t>הנטענת</w:t>
      </w:r>
      <w:r w:rsidRPr="00D955CD">
        <w:rPr>
          <w:rFonts w:ascii="David" w:hAnsi="David" w:cs="David" w:hint="cs"/>
          <w:sz w:val="24"/>
          <w:szCs w:val="24"/>
          <w:rtl/>
        </w:rPr>
        <w:t xml:space="preserve">; </w:t>
      </w:r>
      <w:r w:rsidR="00153394" w:rsidRPr="00153394">
        <w:rPr>
          <w:rFonts w:ascii="David" w:hAnsi="David" w:cs="David" w:hint="cs"/>
          <w:sz w:val="24"/>
          <w:szCs w:val="24"/>
          <w:rtl/>
        </w:rPr>
        <w:t xml:space="preserve">טענות התובעים לא נתמכו בכל ראייה אובייקטיבית לחזקה פרטנית שלהם במקרקעין, ודווקא ראיות ועדויות זמינות המצויות לכאורה בידם כלל לא הוצגו; </w:t>
      </w:r>
      <w:r w:rsidRPr="00153394">
        <w:rPr>
          <w:rFonts w:ascii="David" w:hAnsi="David" w:cs="David" w:hint="cs"/>
          <w:sz w:val="24"/>
          <w:szCs w:val="24"/>
          <w:rtl/>
        </w:rPr>
        <w:t>התובעים גם נמנעו מלהגיש מסמכי בעלות שיכולים היו לבסס טענה לחזקה</w:t>
      </w:r>
      <w:r w:rsidRPr="00D955CD">
        <w:rPr>
          <w:rFonts w:ascii="David" w:hAnsi="David" w:cs="David" w:hint="cs"/>
          <w:sz w:val="24"/>
          <w:szCs w:val="24"/>
          <w:rtl/>
        </w:rPr>
        <w:t xml:space="preserve"> משפטית;</w:t>
      </w:r>
      <w:r w:rsidR="00153394">
        <w:rPr>
          <w:rFonts w:ascii="David" w:hAnsi="David" w:cs="David" w:hint="cs"/>
          <w:sz w:val="24"/>
          <w:szCs w:val="24"/>
          <w:rtl/>
        </w:rPr>
        <w:t xml:space="preserve"> </w:t>
      </w:r>
      <w:r w:rsidRPr="00D955CD">
        <w:rPr>
          <w:rFonts w:ascii="David" w:hAnsi="David" w:cs="David" w:hint="cs"/>
          <w:sz w:val="24"/>
          <w:szCs w:val="24"/>
          <w:rtl/>
        </w:rPr>
        <w:t xml:space="preserve">נקבע כי עדויות "אנשי השטח" של </w:t>
      </w:r>
      <w:proofErr w:type="spellStart"/>
      <w:r w:rsidRPr="00D955CD">
        <w:rPr>
          <w:rFonts w:ascii="David" w:hAnsi="David" w:cs="David" w:hint="cs"/>
          <w:sz w:val="24"/>
          <w:szCs w:val="24"/>
          <w:rtl/>
        </w:rPr>
        <w:t>רט"ג</w:t>
      </w:r>
      <w:proofErr w:type="spellEnd"/>
      <w:r w:rsidRPr="00D955CD">
        <w:rPr>
          <w:rFonts w:ascii="David" w:hAnsi="David" w:cs="David" w:hint="cs"/>
          <w:sz w:val="24"/>
          <w:szCs w:val="24"/>
          <w:rtl/>
        </w:rPr>
        <w:t xml:space="preserve"> לגבי מצב המקרקעין, שנתמכו גם בתיעוד שהוצג, אמינות. נקבע עוד כי ממילא פעולתו של </w:t>
      </w:r>
      <w:proofErr w:type="spellStart"/>
      <w:r w:rsidRPr="00D955CD">
        <w:rPr>
          <w:rFonts w:ascii="David" w:hAnsi="David" w:cs="David" w:hint="cs"/>
          <w:sz w:val="24"/>
          <w:szCs w:val="24"/>
          <w:rtl/>
        </w:rPr>
        <w:t>האנ"נ</w:t>
      </w:r>
      <w:proofErr w:type="spellEnd"/>
      <w:r w:rsidRPr="00D955CD">
        <w:rPr>
          <w:rFonts w:ascii="David" w:hAnsi="David" w:cs="David" w:hint="cs"/>
          <w:sz w:val="24"/>
          <w:szCs w:val="24"/>
          <w:rtl/>
        </w:rPr>
        <w:t xml:space="preserve"> נעשתה ללא כל דופי עובדתי או משפטי ובכלל האמור הפעלת סמכויותיו של </w:t>
      </w:r>
      <w:proofErr w:type="spellStart"/>
      <w:r w:rsidRPr="00D955CD">
        <w:rPr>
          <w:rFonts w:ascii="David" w:hAnsi="David" w:cs="David" w:hint="cs"/>
          <w:sz w:val="24"/>
          <w:szCs w:val="24"/>
          <w:rtl/>
        </w:rPr>
        <w:t>האנ"נ</w:t>
      </w:r>
      <w:proofErr w:type="spellEnd"/>
      <w:r w:rsidRPr="00D955CD">
        <w:rPr>
          <w:rFonts w:ascii="David" w:hAnsi="David" w:cs="David" w:hint="cs"/>
          <w:sz w:val="24"/>
          <w:szCs w:val="24"/>
          <w:rtl/>
        </w:rPr>
        <w:t xml:space="preserve">, הן לאיתור נכס מוקנה והן בהוצאת מכתב ההרשאה </w:t>
      </w:r>
      <w:proofErr w:type="spellStart"/>
      <w:r w:rsidRPr="00D955CD">
        <w:rPr>
          <w:rFonts w:ascii="David" w:hAnsi="David" w:cs="David" w:hint="cs"/>
          <w:sz w:val="24"/>
          <w:szCs w:val="24"/>
          <w:rtl/>
        </w:rPr>
        <w:t>לרט"ג</w:t>
      </w:r>
      <w:proofErr w:type="spellEnd"/>
      <w:r w:rsidRPr="00D955CD">
        <w:rPr>
          <w:rFonts w:ascii="David" w:hAnsi="David" w:cs="David" w:hint="cs"/>
          <w:sz w:val="24"/>
          <w:szCs w:val="24"/>
          <w:rtl/>
        </w:rPr>
        <w:t xml:space="preserve">, </w:t>
      </w:r>
      <w:proofErr w:type="spellStart"/>
      <w:r w:rsidRPr="00D955CD">
        <w:rPr>
          <w:rFonts w:ascii="David" w:hAnsi="David" w:cs="David" w:hint="cs"/>
          <w:sz w:val="24"/>
          <w:szCs w:val="24"/>
          <w:rtl/>
        </w:rPr>
        <w:t>היתה</w:t>
      </w:r>
      <w:proofErr w:type="spellEnd"/>
      <w:r w:rsidRPr="00D955CD">
        <w:rPr>
          <w:rFonts w:ascii="David" w:hAnsi="David" w:cs="David" w:hint="cs"/>
          <w:sz w:val="24"/>
          <w:szCs w:val="24"/>
          <w:rtl/>
        </w:rPr>
        <w:t xml:space="preserve"> הפעלה נכונה, מידתית וראויה של הסמכות במסגרת שיקול הדעת המ</w:t>
      </w:r>
      <w:r w:rsidR="00153394">
        <w:rPr>
          <w:rFonts w:ascii="David" w:hAnsi="David" w:cs="David" w:hint="cs"/>
          <w:sz w:val="24"/>
          <w:szCs w:val="24"/>
          <w:rtl/>
        </w:rPr>
        <w:t>וקנה לו בחוק.</w:t>
      </w:r>
    </w:p>
    <w:p w:rsidR="00153394" w:rsidRDefault="00153394" w:rsidP="00153394">
      <w:pPr>
        <w:spacing w:line="360" w:lineRule="auto"/>
        <w:jc w:val="both"/>
        <w:rPr>
          <w:rFonts w:ascii="FrankRuehl" w:hAnsi="FrankRuehl" w:cs="FrankRuehl"/>
          <w:color w:val="323E4F" w:themeColor="text2" w:themeShade="BF"/>
          <w:sz w:val="26"/>
          <w:szCs w:val="26"/>
          <w:rtl/>
        </w:rPr>
      </w:pPr>
    </w:p>
    <w:p w:rsidR="002453CF" w:rsidRPr="007B7899" w:rsidRDefault="00515986" w:rsidP="00153394">
      <w:pPr>
        <w:spacing w:after="120" w:line="360" w:lineRule="auto"/>
        <w:jc w:val="center"/>
        <w:rPr>
          <w:rFonts w:ascii="Times New Roman" w:eastAsia="Times New Roman" w:hAnsi="Times New Roman" w:cs="David"/>
          <w:b/>
          <w:bCs/>
          <w:color w:val="002060"/>
          <w:rtl/>
        </w:rPr>
      </w:pPr>
      <w:r w:rsidRPr="009F00A1">
        <w:rPr>
          <w:rFonts w:ascii="FrankRuehl" w:hAnsi="FrankRuehl" w:cs="FrankRuehl" w:hint="cs"/>
          <w:b/>
          <w:bCs/>
          <w:color w:val="323E4F" w:themeColor="text2" w:themeShade="BF"/>
          <w:sz w:val="26"/>
          <w:szCs w:val="26"/>
          <w:rtl/>
        </w:rPr>
        <w:t>***</w:t>
      </w:r>
      <w:r>
        <w:rPr>
          <w:rFonts w:ascii="FrankRuehl" w:hAnsi="FrankRuehl" w:cs="FrankRuehl" w:hint="cs"/>
          <w:b/>
          <w:bCs/>
          <w:color w:val="323E4F" w:themeColor="text2" w:themeShade="BF"/>
          <w:sz w:val="26"/>
          <w:szCs w:val="26"/>
          <w:rtl/>
        </w:rPr>
        <w:t xml:space="preserve"> </w:t>
      </w:r>
      <w:r w:rsidRPr="009F00A1">
        <w:rPr>
          <w:rFonts w:ascii="FrankRuehl" w:hAnsi="FrankRuehl" w:cs="FrankRuehl"/>
          <w:b/>
          <w:bCs/>
          <w:color w:val="323E4F" w:themeColor="text2" w:themeShade="BF"/>
          <w:sz w:val="26"/>
          <w:szCs w:val="26"/>
          <w:rtl/>
        </w:rPr>
        <w:t>התקציר אינו בא להחליף את פסק</w:t>
      </w:r>
      <w:r w:rsidRPr="009F00A1">
        <w:rPr>
          <w:rFonts w:ascii="FrankRuehl" w:hAnsi="FrankRuehl" w:cs="FrankRuehl" w:hint="cs"/>
          <w:b/>
          <w:bCs/>
          <w:color w:val="323E4F" w:themeColor="text2" w:themeShade="BF"/>
          <w:sz w:val="26"/>
          <w:szCs w:val="26"/>
          <w:rtl/>
        </w:rPr>
        <w:t>-</w:t>
      </w:r>
      <w:r w:rsidRPr="009F00A1">
        <w:rPr>
          <w:rFonts w:ascii="FrankRuehl" w:hAnsi="FrankRuehl" w:cs="FrankRuehl"/>
          <w:b/>
          <w:bCs/>
          <w:color w:val="323E4F" w:themeColor="text2" w:themeShade="BF"/>
          <w:sz w:val="26"/>
          <w:szCs w:val="26"/>
          <w:rtl/>
        </w:rPr>
        <w:t>הדין, הנוסח המחייב הוא זה של פסק-הדין המלא</w:t>
      </w:r>
      <w:r>
        <w:rPr>
          <w:rFonts w:ascii="FrankRuehl" w:hAnsi="FrankRuehl" w:cs="FrankRuehl" w:hint="cs"/>
          <w:b/>
          <w:bCs/>
          <w:color w:val="323E4F" w:themeColor="text2" w:themeShade="BF"/>
          <w:sz w:val="26"/>
          <w:szCs w:val="26"/>
          <w:rtl/>
        </w:rPr>
        <w:t xml:space="preserve"> </w:t>
      </w:r>
      <w:r w:rsidRPr="009F00A1">
        <w:rPr>
          <w:rFonts w:ascii="FrankRuehl" w:hAnsi="FrankRuehl" w:cs="FrankRuehl" w:hint="cs"/>
          <w:b/>
          <w:bCs/>
          <w:color w:val="323E4F" w:themeColor="text2" w:themeShade="BF"/>
          <w:sz w:val="26"/>
          <w:szCs w:val="26"/>
          <w:rtl/>
        </w:rPr>
        <w:t>***</w:t>
      </w:r>
    </w:p>
    <w:sectPr w:rsidR="002453CF" w:rsidRPr="007B7899" w:rsidSect="00B16422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D0B" w:rsidRDefault="00980D0B" w:rsidP="00730CA1">
      <w:pPr>
        <w:spacing w:after="0" w:line="240" w:lineRule="auto"/>
      </w:pPr>
      <w:r>
        <w:separator/>
      </w:r>
    </w:p>
  </w:endnote>
  <w:endnote w:type="continuationSeparator" w:id="0">
    <w:p w:rsidR="00980D0B" w:rsidRDefault="00980D0B" w:rsidP="00730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1AF" w:rsidRPr="003C61AF" w:rsidRDefault="003C61AF" w:rsidP="003C61AF">
    <w:pP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  <w:rtl/>
      </w:rPr>
    </w:pPr>
    <w:r w:rsidRPr="003C61AF"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  <w:rtl/>
      </w:rPr>
      <w:t>________________________________________________________________</w:t>
    </w:r>
  </w:p>
  <w:p w:rsidR="003C61AF" w:rsidRPr="003C61AF" w:rsidRDefault="003C61AF" w:rsidP="003C61AF">
    <w:pPr>
      <w:tabs>
        <w:tab w:val="center" w:pos="4153"/>
        <w:tab w:val="right" w:pos="8306"/>
      </w:tabs>
      <w:spacing w:after="0" w:line="240" w:lineRule="auto"/>
      <w:jc w:val="center"/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  <w:rtl/>
      </w:rPr>
    </w:pPr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בית משפט העליון רח' שערי משפט, </w:t>
    </w:r>
    <w:proofErr w:type="spellStart"/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>קרית</w:t>
    </w:r>
    <w:proofErr w:type="spellEnd"/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 בן גוריון, ירושלים</w:t>
    </w:r>
  </w:p>
  <w:p w:rsidR="003C61AF" w:rsidRPr="003C61AF" w:rsidRDefault="003C61AF" w:rsidP="003C61AF">
    <w:pPr>
      <w:tabs>
        <w:tab w:val="center" w:pos="4153"/>
        <w:tab w:val="right" w:pos="8306"/>
      </w:tabs>
      <w:spacing w:after="0" w:line="240" w:lineRule="auto"/>
      <w:jc w:val="center"/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</w:rPr>
    </w:pPr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טל: </w:t>
    </w:r>
    <w:r w:rsidRPr="003C61AF"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</w:rPr>
      <w:t>074-7480412</w:t>
    </w:r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                דוא"ל</w:t>
    </w:r>
    <w:r w:rsidRPr="003C61AF">
      <w:rPr>
        <w:rFonts w:ascii="Times New Roman" w:eastAsia="Times New Roman" w:hAnsi="Times New Roman" w:cs="FrankRuehl"/>
        <w:b/>
        <w:bCs/>
        <w:color w:val="000080"/>
        <w:spacing w:val="6"/>
        <w:sz w:val="24"/>
        <w:szCs w:val="24"/>
      </w:rPr>
      <w:t>:</w:t>
    </w:r>
    <w:r w:rsidRPr="003C61AF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</w:rPr>
      <w:t xml:space="preserve">  </w:t>
    </w:r>
    <w:hyperlink r:id="rId1" w:history="1">
      <w:r w:rsidRPr="003C61AF">
        <w:rPr>
          <w:rFonts w:ascii="Times New Roman" w:eastAsia="Times New Roman" w:hAnsi="Times New Roman" w:cs="FrankRuehl"/>
          <w:b/>
          <w:bCs/>
          <w:color w:val="0000FF"/>
          <w:spacing w:val="6"/>
          <w:sz w:val="24"/>
          <w:szCs w:val="24"/>
          <w:u w:val="single"/>
        </w:rPr>
        <w:t>Dover@court.gov.il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D0B" w:rsidRDefault="00980D0B" w:rsidP="00730CA1">
      <w:pPr>
        <w:spacing w:after="0" w:line="240" w:lineRule="auto"/>
      </w:pPr>
      <w:r>
        <w:separator/>
      </w:r>
    </w:p>
  </w:footnote>
  <w:footnote w:type="continuationSeparator" w:id="0">
    <w:p w:rsidR="00980D0B" w:rsidRDefault="00980D0B" w:rsidP="00730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7D7" w:rsidRPr="00693A74" w:rsidRDefault="005253B2" w:rsidP="00693A74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David"/>
        <w:sz w:val="20"/>
        <w:szCs w:val="24"/>
        <w:rtl/>
        <w:lang w:eastAsia="he-IL"/>
      </w:rPr>
    </w:pPr>
    <w:r w:rsidRPr="005253B2">
      <w:rPr>
        <w:rFonts w:ascii="Times New Roman" w:eastAsia="Times New Roman" w:hAnsi="Times New Roman" w:cs="David"/>
        <w:noProof/>
        <w:sz w:val="20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-327194</wp:posOffset>
          </wp:positionV>
          <wp:extent cx="280740" cy="331784"/>
          <wp:effectExtent l="0" t="0" r="5080" b="0"/>
          <wp:wrapNone/>
          <wp:docPr id="1" name="תמונה 2" descr="תיאור: sem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 descr="תיאור: seme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740" cy="331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253B2">
      <w:rPr>
        <w:rFonts w:ascii="Century" w:eastAsia="Times New Roman" w:hAnsi="Century" w:cs="FrankRuehl" w:hint="cs"/>
        <w:noProof/>
        <w:spacing w:val="10"/>
        <w:sz w:val="20"/>
        <w:szCs w:val="28"/>
        <w:rtl/>
        <w:lang w:eastAsia="he-IL"/>
      </w:rPr>
      <w:t xml:space="preserve">                                            </w:t>
    </w:r>
    <w:r w:rsidR="00693A74" w:rsidRPr="00693A74">
      <w:rPr>
        <w:rFonts w:ascii="Times New Roman" w:eastAsia="Times New Roman" w:hAnsi="Times New Roman" w:cs="FrankRuehl" w:hint="cs"/>
        <w:b/>
        <w:bCs/>
        <w:color w:val="000080"/>
        <w:spacing w:val="6"/>
        <w:sz w:val="24"/>
        <w:szCs w:val="24"/>
        <w:rtl/>
        <w:lang w:eastAsia="he-IL"/>
      </w:rPr>
      <w:t>בית משפט השלום בירושלים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B27"/>
    <w:multiLevelType w:val="multilevel"/>
    <w:tmpl w:val="2EA02F4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Cs w:val="0"/>
        <w:iCs w:val="0"/>
        <w:szCs w:val="24"/>
      </w:rPr>
    </w:lvl>
    <w:lvl w:ilvl="1">
      <w:start w:val="1"/>
      <w:numFmt w:val="hebrew1"/>
      <w:lvlText w:val="%2."/>
      <w:lvlJc w:val="left"/>
      <w:pPr>
        <w:tabs>
          <w:tab w:val="num" w:pos="907"/>
        </w:tabs>
        <w:ind w:left="908" w:hanging="454"/>
      </w:pPr>
      <w:rPr>
        <w:rFonts w:cs="David" w:hint="cs"/>
        <w:bCs w:val="0"/>
        <w:iCs w:val="0"/>
        <w:szCs w:val="26"/>
      </w:rPr>
    </w:lvl>
    <w:lvl w:ilvl="2">
      <w:start w:val="1"/>
      <w:numFmt w:val="decimal"/>
      <w:lvlText w:val="(%3)"/>
      <w:lvlJc w:val="left"/>
      <w:pPr>
        <w:tabs>
          <w:tab w:val="num" w:pos="1361"/>
        </w:tabs>
        <w:ind w:left="1362" w:hanging="454"/>
      </w:pPr>
      <w:rPr>
        <w:rFonts w:ascii="Times New Roman" w:hAnsi="Times New Roman" w:cs="David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3CF"/>
    <w:rsid w:val="000011AE"/>
    <w:rsid w:val="00025761"/>
    <w:rsid w:val="000C4D75"/>
    <w:rsid w:val="0011236C"/>
    <w:rsid w:val="001417D3"/>
    <w:rsid w:val="00153394"/>
    <w:rsid w:val="001D42A7"/>
    <w:rsid w:val="00242A68"/>
    <w:rsid w:val="002453CF"/>
    <w:rsid w:val="002C0E83"/>
    <w:rsid w:val="003921C3"/>
    <w:rsid w:val="003C61AF"/>
    <w:rsid w:val="003E6E39"/>
    <w:rsid w:val="003E7EB7"/>
    <w:rsid w:val="00426AA7"/>
    <w:rsid w:val="00515986"/>
    <w:rsid w:val="005253B2"/>
    <w:rsid w:val="00547F3C"/>
    <w:rsid w:val="00631744"/>
    <w:rsid w:val="0068770B"/>
    <w:rsid w:val="00690B6F"/>
    <w:rsid w:val="00693A74"/>
    <w:rsid w:val="006B7B96"/>
    <w:rsid w:val="006C3B1F"/>
    <w:rsid w:val="006F1E1F"/>
    <w:rsid w:val="007007D7"/>
    <w:rsid w:val="00711675"/>
    <w:rsid w:val="00730CA1"/>
    <w:rsid w:val="007B7899"/>
    <w:rsid w:val="00832AD7"/>
    <w:rsid w:val="008C02E0"/>
    <w:rsid w:val="00980D0B"/>
    <w:rsid w:val="00983123"/>
    <w:rsid w:val="009A2862"/>
    <w:rsid w:val="009E5C0E"/>
    <w:rsid w:val="00A140EC"/>
    <w:rsid w:val="00A50E29"/>
    <w:rsid w:val="00A62C93"/>
    <w:rsid w:val="00A66C54"/>
    <w:rsid w:val="00AD7644"/>
    <w:rsid w:val="00B16422"/>
    <w:rsid w:val="00B22AFC"/>
    <w:rsid w:val="00BA3143"/>
    <w:rsid w:val="00C22E08"/>
    <w:rsid w:val="00C37F37"/>
    <w:rsid w:val="00C50C55"/>
    <w:rsid w:val="00C529CC"/>
    <w:rsid w:val="00C842A7"/>
    <w:rsid w:val="00C85A27"/>
    <w:rsid w:val="00CA2D6A"/>
    <w:rsid w:val="00CB4940"/>
    <w:rsid w:val="00CD280B"/>
    <w:rsid w:val="00D11F77"/>
    <w:rsid w:val="00D205AB"/>
    <w:rsid w:val="00D43C0E"/>
    <w:rsid w:val="00D5319F"/>
    <w:rsid w:val="00DD0541"/>
    <w:rsid w:val="00E1328D"/>
    <w:rsid w:val="00E35DF3"/>
    <w:rsid w:val="00EB6609"/>
    <w:rsid w:val="00F46250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43B57-6867-4F06-9DF1-55588D3D5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AA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4">
    <w:name w:val="טקסט בלונים תו"/>
    <w:basedOn w:val="a0"/>
    <w:link w:val="a3"/>
    <w:uiPriority w:val="99"/>
    <w:semiHidden/>
    <w:rsid w:val="00426AA7"/>
    <w:rPr>
      <w:rFonts w:ascii="Tahoma" w:hAnsi="Tahoma" w:cs="Tahoma"/>
      <w:sz w:val="18"/>
      <w:szCs w:val="18"/>
    </w:rPr>
  </w:style>
  <w:style w:type="character" w:styleId="Hyperlink">
    <w:name w:val="Hyperlink"/>
    <w:basedOn w:val="a0"/>
    <w:uiPriority w:val="99"/>
    <w:unhideWhenUsed/>
    <w:rsid w:val="00E35DF3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30C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עליונה תו"/>
    <w:basedOn w:val="a0"/>
    <w:link w:val="a5"/>
    <w:uiPriority w:val="99"/>
    <w:rsid w:val="00730CA1"/>
  </w:style>
  <w:style w:type="paragraph" w:styleId="a7">
    <w:name w:val="footer"/>
    <w:basedOn w:val="a"/>
    <w:link w:val="a8"/>
    <w:uiPriority w:val="99"/>
    <w:unhideWhenUsed/>
    <w:rsid w:val="00730C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תחתונה תו"/>
    <w:basedOn w:val="a0"/>
    <w:link w:val="a7"/>
    <w:uiPriority w:val="99"/>
    <w:rsid w:val="00730CA1"/>
  </w:style>
  <w:style w:type="paragraph" w:styleId="a9">
    <w:name w:val="List Paragraph"/>
    <w:basedOn w:val="a"/>
    <w:uiPriority w:val="34"/>
    <w:qFormat/>
    <w:rsid w:val="00693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over@court.gov.i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748CAE5E-F59E-4BCE-8D26-1B0ECF1DD19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court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נירית לזימי</dc:creator>
  <cp:keywords/>
  <dc:description/>
  <cp:lastModifiedBy>אסתר טטרואשילי</cp:lastModifiedBy>
  <cp:revision>2</cp:revision>
  <cp:lastPrinted>2017-11-13T12:38:00Z</cp:lastPrinted>
  <dcterms:created xsi:type="dcterms:W3CDTF">2023-04-02T07:17:00Z</dcterms:created>
  <dcterms:modified xsi:type="dcterms:W3CDTF">2023-04-02T07:17:00Z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DateEng">
    <vt:lpwstr>07 במרץ 2023</vt:lpwstr>
  </property>
  <property fmtid="{D5CDD505-2E9C-101B-9397-08002B2CF9AE}" pid="3" name="DocDateHeb">
    <vt:lpwstr>י"ד באדר תשפ"ג</vt:lpwstr>
  </property>
  <property fmtid="{D5CDD505-2E9C-101B-9397-08002B2CF9AE}" pid="4" name="DocNumber">
    <vt:lpwstr>4700-1039-2023-002842</vt:lpwstr>
  </property>
  <property fmtid="{D5CDD505-2E9C-101B-9397-08002B2CF9AE}" pid="5" name="DocRecipientsName">
    <vt:lpwstr/>
  </property>
  <property fmtid="{D5CDD505-2E9C-101B-9397-08002B2CF9AE}" pid="6" name="DocToName">
    <vt:lpwstr/>
  </property>
  <property fmtid="{D5CDD505-2E9C-101B-9397-08002B2CF9AE}" pid="7" name="DocObjectName">
    <vt:lpwstr>תקציר ברע"א 7706/22</vt:lpwstr>
  </property>
</Properties>
</file>